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40" w:rsidRDefault="00FC5372">
      <w:pPr>
        <w:spacing w:after="11"/>
        <w:ind w:left="-5" w:right="424"/>
        <w:jc w:val="left"/>
      </w:pPr>
      <w:r>
        <w:rPr>
          <w:b/>
        </w:rPr>
        <w:t xml:space="preserve">Informativa di Studio n. 6/2020 del 2 settembre 2020 </w:t>
      </w: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3940" w:rsidRDefault="00FC5372">
      <w:pPr>
        <w:spacing w:after="0" w:line="259" w:lineRule="auto"/>
        <w:ind w:left="4694" w:right="0" w:firstLine="0"/>
        <w:jc w:val="center"/>
      </w:pPr>
      <w:r>
        <w:rPr>
          <w:b/>
        </w:rPr>
        <w:t xml:space="preserve"> </w:t>
      </w:r>
    </w:p>
    <w:p w:rsidR="00693940" w:rsidRDefault="00FC5372" w:rsidP="009962AC">
      <w:pPr>
        <w:spacing w:after="11"/>
        <w:ind w:left="7089" w:right="424" w:firstLine="0"/>
        <w:jc w:val="left"/>
      </w:pPr>
      <w:r>
        <w:rPr>
          <w:b/>
        </w:rPr>
        <w:t xml:space="preserve">A tutti i Clienti </w:t>
      </w:r>
      <w:r>
        <w:t xml:space="preserve">Loro sedi </w:t>
      </w:r>
      <w:r w:rsidR="009962AC">
        <w:t xml:space="preserve"> </w:t>
      </w: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3940" w:rsidRDefault="00977A40">
      <w:pPr>
        <w:pStyle w:val="Titolo1"/>
        <w:spacing w:after="319"/>
        <w:ind w:left="-5" w:right="424"/>
      </w:pPr>
      <w:r>
        <w:t>OGGETTO: Decreto</w:t>
      </w:r>
      <w:r w:rsidR="00FC5372">
        <w:t xml:space="preserve"> Legge n. 104 del 14 agosto 2020 (c.d. “Decreto </w:t>
      </w:r>
      <w:r>
        <w:t>agosto</w:t>
      </w:r>
      <w:r w:rsidR="00FC5372">
        <w:t xml:space="preserve">”) </w:t>
      </w:r>
    </w:p>
    <w:p w:rsidR="007161B4" w:rsidRDefault="00FC5372" w:rsidP="007161B4">
      <w:pPr>
        <w:ind w:right="0"/>
        <w:rPr>
          <w:b/>
        </w:rPr>
      </w:pPr>
      <w:r>
        <w:rPr>
          <w:b/>
        </w:rPr>
        <w:t xml:space="preserve">Art. 65 </w:t>
      </w:r>
      <w:r w:rsidR="007161B4">
        <w:rPr>
          <w:b/>
        </w:rPr>
        <w:t>–</w:t>
      </w:r>
      <w:r>
        <w:rPr>
          <w:b/>
        </w:rPr>
        <w:t xml:space="preserve"> Proroga</w:t>
      </w:r>
      <w:r w:rsidR="007161B4">
        <w:rPr>
          <w:b/>
        </w:rPr>
        <w:t xml:space="preserve"> </w:t>
      </w:r>
      <w:r w:rsidR="007161B4">
        <w:rPr>
          <w:b/>
        </w:rPr>
        <w:t>moratoria PMI</w:t>
      </w:r>
    </w:p>
    <w:p w:rsidR="007161B4" w:rsidRDefault="00FC5372" w:rsidP="007161B4">
      <w:pPr>
        <w:ind w:right="0"/>
        <w:rPr>
          <w:b/>
        </w:rPr>
      </w:pPr>
      <w:r>
        <w:rPr>
          <w:b/>
        </w:rPr>
        <w:t xml:space="preserve"> </w:t>
      </w:r>
      <w:r w:rsidR="007161B4">
        <w:t>f</w:t>
      </w:r>
      <w:r>
        <w:t xml:space="preserve">ino alla data del 31 gennaio, per le PMI di cui all’articolo 56 D.L. 18/2020: </w:t>
      </w:r>
    </w:p>
    <w:p w:rsidR="007161B4" w:rsidRDefault="00FC5372" w:rsidP="007161B4">
      <w:pPr>
        <w:pStyle w:val="Paragrafoelenco"/>
        <w:numPr>
          <w:ilvl w:val="0"/>
          <w:numId w:val="6"/>
        </w:numPr>
        <w:ind w:right="0"/>
      </w:pPr>
      <w:r>
        <w:t xml:space="preserve">non possono essere revocati gli importi accordati per le aperture di </w:t>
      </w:r>
      <w:r w:rsidR="00977A40">
        <w:t xml:space="preserve">credito </w:t>
      </w:r>
      <w:r w:rsidR="00977A40" w:rsidRPr="007161B4">
        <w:rPr>
          <w:b/>
        </w:rPr>
        <w:t>a</w:t>
      </w:r>
      <w:r>
        <w:t xml:space="preserve"> revoca e per i prestiti concessi a fronte di anticipi su crediti; </w:t>
      </w:r>
      <w:r w:rsidR="007161B4">
        <w:t xml:space="preserve">                                                                            </w:t>
      </w:r>
    </w:p>
    <w:p w:rsidR="00693940" w:rsidRDefault="00FC5372" w:rsidP="007161B4">
      <w:pPr>
        <w:pStyle w:val="Paragrafoelenco"/>
        <w:numPr>
          <w:ilvl w:val="0"/>
          <w:numId w:val="6"/>
        </w:numPr>
        <w:ind w:right="0"/>
      </w:pPr>
      <w:r>
        <w:t xml:space="preserve">i contratti per prestiti non rateali sono prorogati alle stesse condizioni; </w:t>
      </w:r>
    </w:p>
    <w:p w:rsidR="00693940" w:rsidRDefault="00FC5372" w:rsidP="007161B4">
      <w:pPr>
        <w:pStyle w:val="Paragrafoelenco"/>
        <w:numPr>
          <w:ilvl w:val="0"/>
          <w:numId w:val="6"/>
        </w:numPr>
        <w:ind w:right="0"/>
      </w:pPr>
      <w:r>
        <w:t xml:space="preserve">sono sospese le rate di mutui e altri finanziamenti a rimborso rateale, </w:t>
      </w:r>
      <w:r w:rsidR="00977A40">
        <w:t>nonché</w:t>
      </w:r>
      <w:r>
        <w:t xml:space="preserve"> il pagamento delle rate o dei canoni di </w:t>
      </w:r>
      <w:r w:rsidRPr="007161B4">
        <w:rPr>
          <w:i/>
        </w:rPr>
        <w:t>leasing</w:t>
      </w:r>
      <w:r>
        <w:t xml:space="preserve">.  </w:t>
      </w: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161B4" w:rsidRDefault="00FC5372">
      <w:pPr>
        <w:ind w:right="0"/>
        <w:rPr>
          <w:b/>
        </w:rPr>
      </w:pPr>
      <w:r>
        <w:rPr>
          <w:b/>
        </w:rPr>
        <w:t>Art. 77 – Credito</w:t>
      </w:r>
      <w:r w:rsidR="007161B4">
        <w:rPr>
          <w:b/>
        </w:rPr>
        <w:t xml:space="preserve"> </w:t>
      </w:r>
      <w:r w:rsidR="007161B4">
        <w:rPr>
          <w:b/>
        </w:rPr>
        <w:t>d’imposta locazioni</w:t>
      </w:r>
      <w:r>
        <w:rPr>
          <w:b/>
        </w:rPr>
        <w:t xml:space="preserve"> </w:t>
      </w:r>
    </w:p>
    <w:p w:rsidR="00693940" w:rsidRDefault="00FC5372">
      <w:pPr>
        <w:ind w:right="0"/>
      </w:pPr>
      <w:r>
        <w:t xml:space="preserve">Il credito d’imposta per i canoni di locazione, introdotto dal Decreto Rilancio per i mesi di marzo, aprile e maggio e spettante ai soggetti locatari esercenti attività economica che abbiano subito una diminuzione del fatturato o dei corrispettivi nel mese di riferimento di almeno il 50% rispetto allo stesso mese del 2019, è esteso anche al mese di giugno. Per le strutture turistico-ricettive con attività solo stagionale il credito d’imposta è previsto anche per il mese di luglio.  </w:t>
      </w: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161B4" w:rsidRDefault="00FC5372">
      <w:pPr>
        <w:ind w:right="0"/>
        <w:rPr>
          <w:b/>
        </w:rPr>
      </w:pPr>
      <w:r>
        <w:rPr>
          <w:b/>
        </w:rPr>
        <w:t>Art. 78 – Abolizione</w:t>
      </w:r>
      <w:r w:rsidR="007161B4">
        <w:rPr>
          <w:b/>
        </w:rPr>
        <w:t xml:space="preserve"> </w:t>
      </w:r>
      <w:r w:rsidR="007161B4">
        <w:rPr>
          <w:b/>
        </w:rPr>
        <w:t>saldo IMU</w:t>
      </w:r>
      <w:r>
        <w:rPr>
          <w:b/>
        </w:rPr>
        <w:t xml:space="preserve"> </w:t>
      </w:r>
    </w:p>
    <w:p w:rsidR="00693940" w:rsidRDefault="00FC5372">
      <w:pPr>
        <w:ind w:right="0"/>
      </w:pPr>
      <w:r>
        <w:t xml:space="preserve">Non è dovuto il saldo IMU per - tra gli altri - immobili rientranti nella categoria catastale D/2 e relative pertinenze, immobili degli agriturismi, dei villaggi turistici, degli ostelli della gioventù, dei rifugi di montagna, delle colonie marine e montane, degli affittacamere per brevi soggiorni, delle case e appartamenti per vacanze, dei </w:t>
      </w:r>
      <w:r>
        <w:rPr>
          <w:i/>
        </w:rPr>
        <w:t>bed &amp; breakfast</w:t>
      </w:r>
      <w:r>
        <w:t xml:space="preserve">, dei </w:t>
      </w:r>
      <w:r>
        <w:rPr>
          <w:i/>
        </w:rPr>
        <w:t xml:space="preserve">residence </w:t>
      </w:r>
      <w:r>
        <w:t xml:space="preserve">e dei campeggi, a condizione che i relativi proprietari siano anche gestori delle attività ivi esercitate (tutti immobili che avevano già fruito dell’esonero dal saldo dell’acconto IMU di giugno). </w:t>
      </w: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D53254" w:rsidRDefault="00D53254">
      <w:pPr>
        <w:ind w:right="0"/>
        <w:rPr>
          <w:b/>
        </w:rPr>
      </w:pPr>
      <w:r>
        <w:rPr>
          <w:b/>
        </w:rPr>
        <w:t>Art. 79 – Credito d’imposta per la riqualificazione e il miglioramento delle strutture ricettive</w:t>
      </w:r>
    </w:p>
    <w:p w:rsidR="00693940" w:rsidRDefault="00FC5372">
      <w:pPr>
        <w:ind w:right="0"/>
      </w:pPr>
      <w:r>
        <w:t>Viene ristabilito il credito di imposta per la riqu</w:t>
      </w:r>
      <w:r w:rsidR="00D53254">
        <w:t>alificazione e il miglioramento</w:t>
      </w:r>
      <w:r>
        <w:rPr>
          <w:b/>
        </w:rPr>
        <w:t xml:space="preserve"> </w:t>
      </w:r>
      <w:r>
        <w:t>delle strutture ricettive turistico-alberghiere (originariamente introdotto</w:t>
      </w:r>
      <w:r>
        <w:rPr>
          <w:b/>
        </w:rPr>
        <w:t xml:space="preserve"> </w:t>
      </w:r>
      <w:r>
        <w:t>dall</w:t>
      </w:r>
      <w:hyperlink r:id="rId7">
        <w:r>
          <w:t>'</w:t>
        </w:r>
      </w:hyperlink>
      <w:hyperlink r:id="rId8">
        <w:r>
          <w:t>articolo 10</w:t>
        </w:r>
      </w:hyperlink>
      <w:hyperlink r:id="rId9">
        <w:r>
          <w:t xml:space="preserve"> </w:t>
        </w:r>
      </w:hyperlink>
      <w:hyperlink r:id="rId10">
        <w:r>
          <w:t>D.L. 83/2014)</w:t>
        </w:r>
      </w:hyperlink>
      <w:r>
        <w:t xml:space="preserve"> nella misura del 65 per cento, per il 2020 e </w:t>
      </w:r>
      <w:r>
        <w:rPr>
          <w:b/>
        </w:rPr>
        <w:t xml:space="preserve">il </w:t>
      </w:r>
      <w:r>
        <w:t>2021.</w:t>
      </w:r>
      <w:r>
        <w:rPr>
          <w:b/>
        </w:rPr>
        <w:t xml:space="preserve"> </w:t>
      </w: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D53254" w:rsidRDefault="00FC5372">
      <w:pPr>
        <w:ind w:right="0"/>
        <w:rPr>
          <w:b/>
        </w:rPr>
      </w:pPr>
      <w:r>
        <w:rPr>
          <w:b/>
        </w:rPr>
        <w:t>Art. 81 – Credito</w:t>
      </w:r>
      <w:r w:rsidR="00D53254">
        <w:rPr>
          <w:b/>
        </w:rPr>
        <w:t xml:space="preserve"> </w:t>
      </w:r>
      <w:r w:rsidR="00D53254">
        <w:rPr>
          <w:b/>
        </w:rPr>
        <w:t>d'imposta per</w:t>
      </w:r>
      <w:r w:rsidR="00D53254">
        <w:rPr>
          <w:b/>
        </w:rPr>
        <w:t xml:space="preserve"> investimenti pubblicitari in favore di leghe, società sportive professionistiche, ASD e SSD</w:t>
      </w:r>
    </w:p>
    <w:p w:rsidR="00693940" w:rsidRDefault="00FC5372">
      <w:pPr>
        <w:ind w:right="0"/>
      </w:pPr>
      <w:r>
        <w:rPr>
          <w:b/>
        </w:rPr>
        <w:t xml:space="preserve"> </w:t>
      </w:r>
      <w:r w:rsidR="00F64FFF">
        <w:t>È</w:t>
      </w:r>
      <w:r>
        <w:t xml:space="preserve"> riconosciuto un credito d’imposta alle imprese, lavoratori autonomi e enti non commerciali che effettuano investimenti in campagne pubblicitarie,</w:t>
      </w:r>
      <w:r>
        <w:rPr>
          <w:b/>
        </w:rPr>
        <w:t xml:space="preserve"> </w:t>
      </w:r>
      <w:r>
        <w:t>effettuate a decorrere dal 1 luglio 2020 e fino al 31 dicembre 2020, in favore</w:t>
      </w:r>
      <w:r w:rsidR="00D53254">
        <w:t xml:space="preserve"> </w:t>
      </w:r>
      <w:r>
        <w:t xml:space="preserve">di Leghe che organizzano campionati nazionali a squadre nell'ambito </w:t>
      </w:r>
      <w:r w:rsidR="00F64FFF">
        <w:t xml:space="preserve">delle </w:t>
      </w:r>
      <w:r w:rsidR="00F64FFF" w:rsidRPr="00F64FFF">
        <w:t>discipline</w:t>
      </w:r>
      <w:r>
        <w:t xml:space="preserve"> olimpiche, ovvero società sportive professionistiche, Ssd e Asd</w:t>
      </w:r>
      <w:r>
        <w:rPr>
          <w:b/>
        </w:rPr>
        <w:t xml:space="preserve"> </w:t>
      </w:r>
      <w:r>
        <w:t>iscritte al registro Coni operanti in discipline ammesse ai Giochi Olimpici e</w:t>
      </w:r>
      <w:r>
        <w:rPr>
          <w:b/>
        </w:rPr>
        <w:t xml:space="preserve"> </w:t>
      </w:r>
      <w:r>
        <w:t xml:space="preserve">che svolgono attività sportiva giovanile. </w:t>
      </w:r>
    </w:p>
    <w:p w:rsidR="00693940" w:rsidRDefault="00FC5372" w:rsidP="00D53254">
      <w:pPr>
        <w:ind w:right="0"/>
      </w:pPr>
      <w:r>
        <w:t>Il credito d’imposta è pari, al massimo, al 50% degli investimenti effettuati ed è soggetto a limite massimo di spesa da definirsi sulla base delle risorse</w:t>
      </w:r>
      <w:r>
        <w:rPr>
          <w:rFonts w:ascii="Arial" w:eastAsia="Arial" w:hAnsi="Arial" w:cs="Arial"/>
          <w:b/>
        </w:rPr>
        <w:t xml:space="preserve"> </w:t>
      </w:r>
      <w:r w:rsidR="00D53254">
        <w:t xml:space="preserve">disponibili. </w:t>
      </w:r>
      <w:r>
        <w:t>L'investimento in campagne pubblicitarie deve essere di importo complessivo non inferiore a 10.000 euro e rivolto a Leghe, società sportive professionistiche, Asd e Ssd con ricavi 2019 almeno pari a 200.000 euro e fino a un massimo di 15 milioni di euro. Sono escluse dal beneficio in esame le sponsorizzazioni nei confronti dei soggetti che aderiscono al regime previsto dalla L. 398/1991.</w:t>
      </w:r>
      <w:r>
        <w:rPr>
          <w:b/>
        </w:rPr>
        <w:t xml:space="preserve"> </w:t>
      </w: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 </w:t>
      </w:r>
    </w:p>
    <w:p w:rsidR="00D53254" w:rsidRDefault="00FC5372">
      <w:pPr>
        <w:spacing w:after="11"/>
        <w:ind w:left="-5" w:right="424"/>
        <w:jc w:val="left"/>
        <w:rPr>
          <w:b/>
        </w:rPr>
      </w:pPr>
      <w:r>
        <w:rPr>
          <w:b/>
        </w:rPr>
        <w:t>Art. 97 – Ulteriore</w:t>
      </w:r>
      <w:r w:rsidR="00D53254">
        <w:rPr>
          <w:b/>
        </w:rPr>
        <w:t xml:space="preserve"> rateazione dei versamenti sospesi</w:t>
      </w:r>
    </w:p>
    <w:p w:rsidR="00693940" w:rsidRDefault="00FC5372">
      <w:pPr>
        <w:spacing w:after="11"/>
        <w:ind w:left="-5" w:right="424"/>
        <w:jc w:val="left"/>
      </w:pPr>
      <w:r>
        <w:rPr>
          <w:b/>
        </w:rPr>
        <w:t xml:space="preserve"> </w:t>
      </w:r>
      <w:r>
        <w:t xml:space="preserve">Il versamento di: </w:t>
      </w:r>
    </w:p>
    <w:p w:rsidR="00D53254" w:rsidRDefault="00FC5372" w:rsidP="00D53254">
      <w:pPr>
        <w:ind w:right="0"/>
      </w:pPr>
      <w:r>
        <w:rPr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t xml:space="preserve">ritenute IRPEF e relative addizionali, IVA, contributi INPS e premi </w:t>
      </w:r>
      <w:r w:rsidR="00D53254">
        <w:t>INAIL, dovute da:</w:t>
      </w:r>
    </w:p>
    <w:p w:rsidR="00693940" w:rsidRDefault="00D53254" w:rsidP="00D53254">
      <w:pPr>
        <w:ind w:right="0"/>
      </w:pPr>
      <w:r>
        <w:rPr>
          <w:rFonts w:ascii="Arial" w:eastAsia="Arial" w:hAnsi="Arial" w:cs="Arial"/>
          <w:color w:val="434343"/>
          <w:sz w:val="19"/>
        </w:rPr>
        <w:t xml:space="preserve">(i) </w:t>
      </w:r>
      <w:r w:rsidR="00FC5372">
        <w:t>soggetti con ricavi 2019 inf</w:t>
      </w:r>
      <w:r>
        <w:t xml:space="preserve">eriori a 50mln che hanno subito </w:t>
      </w:r>
      <w:r w:rsidR="00FC5372">
        <w:t xml:space="preserve">una riduzione di almeno il </w:t>
      </w:r>
      <w:r>
        <w:t xml:space="preserve">                                                         </w:t>
      </w:r>
      <w:r w:rsidR="00FC5372">
        <w:t xml:space="preserve">33% del fatturato di marzo 2020 su marzo 2019 e di aprile 2020 su aprile 2019; </w:t>
      </w:r>
    </w:p>
    <w:p w:rsidR="00693940" w:rsidRDefault="00FC5372" w:rsidP="00D53254">
      <w:pPr>
        <w:ind w:left="0" w:right="0" w:firstLine="0"/>
      </w:pPr>
      <w:r>
        <w:rPr>
          <w:rFonts w:ascii="Arial" w:eastAsia="Arial" w:hAnsi="Arial" w:cs="Arial"/>
          <w:color w:val="434343"/>
          <w:sz w:val="19"/>
        </w:rPr>
        <w:t xml:space="preserve">(ii) </w:t>
      </w:r>
      <w:r w:rsidR="00D53254">
        <w:rPr>
          <w:rFonts w:ascii="Arial" w:eastAsia="Arial" w:hAnsi="Arial" w:cs="Arial"/>
          <w:color w:val="434343"/>
          <w:sz w:val="19"/>
        </w:rPr>
        <w:t xml:space="preserve"> </w:t>
      </w:r>
      <w:r>
        <w:t xml:space="preserve">soggetti con ricavi 2019 superiori a 50mln che hanno subito una riduzione di </w:t>
      </w:r>
      <w:r w:rsidR="00D53254">
        <w:t xml:space="preserve">  </w:t>
      </w:r>
      <w:r>
        <w:t xml:space="preserve">almeno il 50% del fatturato di marzo 2020 su marzo 2019 e di aprile 2020 su aprile 2019  </w:t>
      </w:r>
    </w:p>
    <w:p w:rsidR="00693940" w:rsidRDefault="00FC5372" w:rsidP="00D53254">
      <w:pPr>
        <w:ind w:left="0" w:right="0" w:firstLine="0"/>
      </w:pPr>
      <w:r>
        <w:t xml:space="preserve">(versamento sospeso per effetto dell’articolo 18 D.L. 23/2020 - c.d. Decreto “Liquidità”); </w:t>
      </w:r>
    </w:p>
    <w:p w:rsidR="00D53254" w:rsidRDefault="00FC5372" w:rsidP="00D53254">
      <w:pPr>
        <w:spacing w:after="42"/>
        <w:ind w:right="0"/>
      </w:pPr>
      <w:r>
        <w:rPr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t xml:space="preserve">ritenute IRPEF e relative addizionali, IVA, contributi INPS e premi INAIL, dovute da soggetti esercenti attività d’impresa, arte o professione che hanno conseguito, nel 2019, ricavi o compensi non superiori a 2mln; </w:t>
      </w:r>
    </w:p>
    <w:p w:rsidR="00693940" w:rsidRDefault="00FC5372" w:rsidP="00D53254">
      <w:pPr>
        <w:spacing w:after="42"/>
        <w:ind w:right="0"/>
      </w:pPr>
      <w:r>
        <w:t xml:space="preserve">può essere effettuato, senza applicazione di sanzioni e interessi: </w:t>
      </w:r>
    </w:p>
    <w:p w:rsidR="00693940" w:rsidRDefault="00FC5372" w:rsidP="00D53254">
      <w:pPr>
        <w:pStyle w:val="Paragrafoelenco"/>
        <w:numPr>
          <w:ilvl w:val="0"/>
          <w:numId w:val="6"/>
        </w:numPr>
        <w:spacing w:after="43"/>
        <w:ind w:right="0"/>
      </w:pPr>
      <w:r>
        <w:t xml:space="preserve">per il 50% delle somme, in un'unica soluzione entro il 16 settembre 2020, o, mediante rateizzazione, fino ad un massimo di 4 rate mensili di pari importo; </w:t>
      </w:r>
    </w:p>
    <w:p w:rsidR="00693940" w:rsidRDefault="00FC5372" w:rsidP="00D53254">
      <w:pPr>
        <w:pStyle w:val="Paragrafoelenco"/>
        <w:numPr>
          <w:ilvl w:val="0"/>
          <w:numId w:val="6"/>
        </w:numPr>
        <w:ind w:right="0"/>
      </w:pPr>
      <w:r>
        <w:t xml:space="preserve">per il restante 50%: mediante rateizzazione, fino ad un massimo di 24 rate mensili di pari importo, con il versamento della prima rata entro il 16 gennaio 2021.  </w:t>
      </w: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F64FFF" w:rsidRDefault="00F64FFF">
      <w:pPr>
        <w:ind w:right="0"/>
        <w:rPr>
          <w:b/>
        </w:rPr>
      </w:pPr>
    </w:p>
    <w:p w:rsidR="00D53254" w:rsidRDefault="00FC5372">
      <w:pPr>
        <w:ind w:right="0"/>
        <w:rPr>
          <w:b/>
        </w:rPr>
      </w:pPr>
      <w:r>
        <w:rPr>
          <w:b/>
        </w:rPr>
        <w:t>Art. 98 – Proroga</w:t>
      </w:r>
      <w:r w:rsidR="00D53254">
        <w:rPr>
          <w:b/>
        </w:rPr>
        <w:t xml:space="preserve"> versamento imposte per soggetti ISA</w:t>
      </w:r>
    </w:p>
    <w:p w:rsidR="00693940" w:rsidRDefault="00FC5372">
      <w:pPr>
        <w:ind w:right="0"/>
      </w:pPr>
      <w:r>
        <w:rPr>
          <w:b/>
        </w:rPr>
        <w:t xml:space="preserve"> </w:t>
      </w:r>
      <w:r>
        <w:t>È’ differito al 30 aprile 2021 il termine di versamento della seconda o unica rata dell'acconto delle imposte sui redditi e dell'IRAP per i soggetti ISA che</w:t>
      </w:r>
      <w:r>
        <w:rPr>
          <w:b/>
        </w:rPr>
        <w:t xml:space="preserve"> </w:t>
      </w:r>
      <w:r>
        <w:t>hanno subito una diminuzione del fatturato o dei corrispettivi di almeno il 33% nel primo semestre dell'anno 2020 rispetto allo stesso periodo dell'anno precedente</w:t>
      </w:r>
      <w:r>
        <w:rPr>
          <w:sz w:val="22"/>
        </w:rPr>
        <w:t>.</w:t>
      </w:r>
      <w:r>
        <w:t xml:space="preserve"> </w:t>
      </w:r>
    </w:p>
    <w:p w:rsidR="00F64FFF" w:rsidRDefault="00F64FFF">
      <w:pPr>
        <w:spacing w:after="0" w:line="259" w:lineRule="auto"/>
        <w:ind w:left="0" w:right="0" w:firstLine="0"/>
        <w:jc w:val="left"/>
        <w:rPr>
          <w:b/>
        </w:rPr>
      </w:pP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DD6C5E" w:rsidRDefault="00FC5372">
      <w:pPr>
        <w:ind w:right="0"/>
        <w:rPr>
          <w:b/>
        </w:rPr>
      </w:pPr>
      <w:r>
        <w:rPr>
          <w:b/>
        </w:rPr>
        <w:t>Art. 99 – Proroga</w:t>
      </w:r>
      <w:r w:rsidR="00D53254">
        <w:rPr>
          <w:b/>
        </w:rPr>
        <w:t xml:space="preserve"> riscossione coattiva</w:t>
      </w:r>
    </w:p>
    <w:p w:rsidR="00693940" w:rsidRDefault="00FC5372">
      <w:pPr>
        <w:ind w:right="0"/>
      </w:pPr>
      <w:r>
        <w:rPr>
          <w:b/>
        </w:rPr>
        <w:t xml:space="preserve"> </w:t>
      </w:r>
      <w:r>
        <w:t xml:space="preserve">Per tutti i contribuenti, sono sospesi fino al 15 ottobre 2020: </w:t>
      </w:r>
    </w:p>
    <w:p w:rsidR="00693940" w:rsidRDefault="00FC5372" w:rsidP="00DD6C5E">
      <w:pPr>
        <w:pStyle w:val="Paragrafoelenco"/>
        <w:numPr>
          <w:ilvl w:val="0"/>
          <w:numId w:val="6"/>
        </w:numPr>
        <w:ind w:right="0"/>
      </w:pPr>
      <w:r>
        <w:t xml:space="preserve">i termini dei versamenti (anche di rate per piani di dilazione), scadenti nel periodo dall’8 marzo al 15 ottobre 2020, derivanti da cartelle di pagamento o da avvisi di accertamento fiscali, doganali e locali, o da avvisi di addebito INPS o ingiunzioni emesse dagli enti territoriali; </w:t>
      </w:r>
    </w:p>
    <w:p w:rsidR="00693940" w:rsidRDefault="00FC5372" w:rsidP="00DD6C5E">
      <w:pPr>
        <w:pStyle w:val="Paragrafoelenco"/>
        <w:numPr>
          <w:ilvl w:val="0"/>
          <w:numId w:val="6"/>
        </w:numPr>
        <w:ind w:right="0"/>
      </w:pPr>
      <w:r>
        <w:t xml:space="preserve">gli obblighi derivanti dai pignoramenti presso terzi effettuati, prima del 19 maggio 2020, su stipendi, salari, altre indennità relative al rapporto di lavoro o impiego, nonché a titolo di pensioni e trattamenti assimilati; </w:t>
      </w:r>
    </w:p>
    <w:p w:rsidR="00693940" w:rsidRDefault="00FC5372" w:rsidP="00DD6C5E">
      <w:pPr>
        <w:pStyle w:val="Paragrafoelenco"/>
        <w:numPr>
          <w:ilvl w:val="0"/>
          <w:numId w:val="6"/>
        </w:numPr>
        <w:ind w:right="0"/>
      </w:pPr>
      <w:r>
        <w:t xml:space="preserve">le attività di verifica di inadempienza da parte delle Pubbliche Amministrazioni e delle società a prevalente partecipazione pubblica, da effettuarsi prima di disporre pagamenti (secondo l’articolo 48-bis D.P.R. 602/1973). </w:t>
      </w:r>
    </w:p>
    <w:p w:rsidR="00693940" w:rsidRDefault="00FC5372" w:rsidP="00DD6C5E">
      <w:pPr>
        <w:ind w:right="0"/>
      </w:pPr>
      <w:r>
        <w:t xml:space="preserve">I versamenti oggetto di sospensione devono essere effettuati in unica soluzione entro il 30 novembre 2020. </w:t>
      </w:r>
    </w:p>
    <w:p w:rsidR="00693940" w:rsidRDefault="00FC5372" w:rsidP="00DD6C5E">
      <w:pPr>
        <w:spacing w:after="30"/>
        <w:ind w:right="0"/>
      </w:pPr>
      <w:r>
        <w:t>Resta invece fermo al 10 dicembre 2020 il termine ultimo previsto per il pagamento delle rate dalla rottamazione-ter e del saldo e stralcio</w:t>
      </w:r>
      <w:r w:rsidR="009962AC">
        <w:t>.</w:t>
      </w:r>
      <w:r>
        <w:t xml:space="preserve"> </w:t>
      </w:r>
    </w:p>
    <w:p w:rsidR="00693940" w:rsidRDefault="00FC537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F64FFF" w:rsidRDefault="00F64FFF">
      <w:pPr>
        <w:spacing w:after="217" w:line="259" w:lineRule="auto"/>
        <w:ind w:left="0" w:right="0" w:firstLine="0"/>
        <w:jc w:val="left"/>
        <w:rPr>
          <w:b/>
        </w:rPr>
      </w:pPr>
    </w:p>
    <w:p w:rsidR="00F64FFF" w:rsidRDefault="00F64FFF">
      <w:pPr>
        <w:spacing w:after="217" w:line="259" w:lineRule="auto"/>
        <w:ind w:left="0" w:right="0" w:firstLine="0"/>
        <w:jc w:val="left"/>
        <w:rPr>
          <w:b/>
        </w:rPr>
      </w:pPr>
    </w:p>
    <w:p w:rsidR="00F64FFF" w:rsidRDefault="00F64FFF">
      <w:pPr>
        <w:spacing w:after="217" w:line="259" w:lineRule="auto"/>
        <w:ind w:left="0" w:right="0" w:firstLine="0"/>
        <w:jc w:val="left"/>
        <w:rPr>
          <w:b/>
        </w:rPr>
      </w:pPr>
    </w:p>
    <w:p w:rsidR="009B637C" w:rsidRDefault="009B637C">
      <w:pPr>
        <w:spacing w:after="217" w:line="259" w:lineRule="auto"/>
        <w:ind w:left="0" w:right="0" w:firstLine="0"/>
        <w:jc w:val="left"/>
        <w:rPr>
          <w:b/>
        </w:rPr>
      </w:pPr>
    </w:p>
    <w:p w:rsidR="00693940" w:rsidRDefault="00DD6C5E">
      <w:pPr>
        <w:spacing w:after="217" w:line="259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>Art. 110 – Rivalutazione generale dei beni d’impresa e delle partecipazioni 2020</w:t>
      </w:r>
    </w:p>
    <w:p w:rsidR="00F64FFF" w:rsidRDefault="00DD6C5E">
      <w:pPr>
        <w:spacing w:after="217" w:line="259" w:lineRule="auto"/>
        <w:ind w:left="0" w:right="0" w:firstLine="0"/>
        <w:jc w:val="left"/>
      </w:pPr>
      <w:r>
        <w:t>È prevista la possibilità di rivalutare i beni d’impresa e le partecipazioni, ad esclusione degli immobili alla cui produzione o al cui scambio è diretta l’attività di impresa, risultanti dal bilancio dell’esercizio in corso al 31 dicembre 2019.</w:t>
      </w:r>
      <w:r w:rsidR="00F64FFF">
        <w:t xml:space="preserve">                                                                                                                  </w:t>
      </w:r>
      <w:r w:rsidR="00F64FFF">
        <w:t xml:space="preserve">La rivalutazione, che deve essere eseguita nel bilancio dell’esercizio successivo a quello in corso al 31 dicembre 2019, può avere: </w:t>
      </w:r>
    </w:p>
    <w:p w:rsidR="00DD6C5E" w:rsidRDefault="00DD6C5E" w:rsidP="00DD6C5E">
      <w:pPr>
        <w:pStyle w:val="Paragrafoelenco"/>
        <w:numPr>
          <w:ilvl w:val="0"/>
          <w:numId w:val="6"/>
        </w:numPr>
        <w:spacing w:after="217" w:line="259" w:lineRule="auto"/>
        <w:ind w:right="0"/>
        <w:jc w:val="left"/>
      </w:pPr>
      <w:r>
        <w:t>effetti soltanto civilistici e contabili</w:t>
      </w:r>
    </w:p>
    <w:p w:rsidR="00DD6C5E" w:rsidRDefault="00DD6C5E" w:rsidP="00DD6C5E">
      <w:pPr>
        <w:pStyle w:val="Paragrafoelenco"/>
        <w:numPr>
          <w:ilvl w:val="0"/>
          <w:numId w:val="6"/>
        </w:numPr>
        <w:spacing w:after="217" w:line="259" w:lineRule="auto"/>
        <w:ind w:right="0"/>
        <w:jc w:val="left"/>
      </w:pPr>
      <w:r>
        <w:t xml:space="preserve">effetti anche fiscali, a seguito del </w:t>
      </w:r>
      <w:r w:rsidR="00F64FFF">
        <w:t>pagamento dell’imposta</w:t>
      </w:r>
      <w:r>
        <w:t xml:space="preserve"> sostitutiva</w:t>
      </w:r>
      <w:r w:rsidR="00F64FFF">
        <w:t xml:space="preserve"> del 3%.</w:t>
      </w:r>
    </w:p>
    <w:p w:rsidR="00DD6C5E" w:rsidRDefault="00F64FFF" w:rsidP="00F64FFF">
      <w:pPr>
        <w:spacing w:after="217" w:line="259" w:lineRule="auto"/>
        <w:ind w:right="0"/>
        <w:jc w:val="left"/>
      </w:pPr>
      <w:r>
        <w:t>La rivalutazione può essere effettuata distintamente per ciascun bene.                                                   Il saldo attivo di rivalutazione può essere affrancato con il pagamento di un’imposta sostitutiva del 10%.</w:t>
      </w:r>
    </w:p>
    <w:p w:rsidR="00F64FFF" w:rsidRDefault="00F64FFF" w:rsidP="00F64FFF">
      <w:pPr>
        <w:spacing w:after="217" w:line="259" w:lineRule="auto"/>
        <w:ind w:right="0"/>
        <w:jc w:val="left"/>
      </w:pPr>
    </w:p>
    <w:p w:rsidR="00F64FFF" w:rsidRDefault="00F64FFF" w:rsidP="00F64FFF">
      <w:pPr>
        <w:spacing w:after="217" w:line="259" w:lineRule="auto"/>
        <w:ind w:right="0"/>
        <w:jc w:val="left"/>
      </w:pPr>
    </w:p>
    <w:p w:rsidR="00F64FFF" w:rsidRDefault="00F64FFF" w:rsidP="00F64FFF">
      <w:pPr>
        <w:spacing w:after="217" w:line="259" w:lineRule="auto"/>
        <w:ind w:right="0"/>
        <w:jc w:val="left"/>
        <w:rPr>
          <w:b/>
        </w:rPr>
      </w:pPr>
      <w:r>
        <w:rPr>
          <w:b/>
        </w:rPr>
        <w:t>Lo studio rimane a completa disposizione per qualsivoglia ulteriore chiarimento ritenuto d’occorrenza.</w:t>
      </w:r>
    </w:p>
    <w:p w:rsidR="00F64FFF" w:rsidRPr="00F64FFF" w:rsidRDefault="00F64FFF" w:rsidP="00F64FFF">
      <w:pPr>
        <w:spacing w:after="217" w:line="259" w:lineRule="auto"/>
        <w:ind w:right="0"/>
        <w:jc w:val="left"/>
        <w:rPr>
          <w:b/>
        </w:rPr>
      </w:pPr>
    </w:p>
    <w:p w:rsidR="00DD6C5E" w:rsidRPr="00DD6C5E" w:rsidRDefault="00DD6C5E" w:rsidP="00DD6C5E">
      <w:pPr>
        <w:spacing w:after="217" w:line="259" w:lineRule="auto"/>
        <w:ind w:left="0" w:right="0" w:firstLine="0"/>
      </w:pPr>
    </w:p>
    <w:p w:rsidR="00693940" w:rsidRDefault="00FC5372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693940" w:rsidRDefault="00FC5372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F64FFF" w:rsidRDefault="00F64FFF" w:rsidP="00DD6C5E">
      <w:pPr>
        <w:spacing w:after="218" w:line="259" w:lineRule="auto"/>
        <w:ind w:left="0" w:right="0" w:firstLine="0"/>
        <w:jc w:val="left"/>
      </w:pPr>
    </w:p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F64FFF" w:rsidRPr="00F64FFF" w:rsidRDefault="00F64FFF" w:rsidP="00F64FFF"/>
    <w:p w:rsidR="009B637C" w:rsidRDefault="009B637C" w:rsidP="009B637C">
      <w:pPr>
        <w:ind w:left="0" w:firstLine="0"/>
        <w:rPr>
          <w:b/>
          <w:i/>
          <w:sz w:val="28"/>
          <w:szCs w:val="28"/>
        </w:rPr>
      </w:pPr>
    </w:p>
    <w:p w:rsidR="00693940" w:rsidRPr="00F64FFF" w:rsidRDefault="00F64FFF" w:rsidP="009B637C">
      <w:pPr>
        <w:ind w:left="0" w:firstLine="0"/>
        <w:rPr>
          <w:b/>
          <w:i/>
          <w:sz w:val="28"/>
          <w:szCs w:val="28"/>
        </w:rPr>
      </w:pPr>
      <w:bookmarkStart w:id="0" w:name="_GoBack"/>
      <w:bookmarkEnd w:id="0"/>
      <w:r w:rsidRPr="00F64FFF">
        <w:rPr>
          <w:b/>
          <w:i/>
          <w:sz w:val="28"/>
          <w:szCs w:val="28"/>
        </w:rPr>
        <w:t>La presente informativa, per la rappresentazione volutamente sintetica delle informazioni in essa contenute, non costituisce in alcun modo parere tributario.</w:t>
      </w:r>
    </w:p>
    <w:sectPr w:rsidR="00693940" w:rsidRPr="00F64FFF" w:rsidSect="00DD6C5E">
      <w:pgSz w:w="11906" w:h="16838"/>
      <w:pgMar w:top="1751" w:right="1230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6E" w:rsidRDefault="00B4476E" w:rsidP="00DD6C5E">
      <w:pPr>
        <w:spacing w:after="0" w:line="240" w:lineRule="auto"/>
      </w:pPr>
      <w:r>
        <w:separator/>
      </w:r>
    </w:p>
  </w:endnote>
  <w:endnote w:type="continuationSeparator" w:id="0">
    <w:p w:rsidR="00B4476E" w:rsidRDefault="00B4476E" w:rsidP="00DD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6E" w:rsidRDefault="00B4476E" w:rsidP="00DD6C5E">
      <w:pPr>
        <w:spacing w:after="0" w:line="240" w:lineRule="auto"/>
      </w:pPr>
      <w:r>
        <w:separator/>
      </w:r>
    </w:p>
  </w:footnote>
  <w:footnote w:type="continuationSeparator" w:id="0">
    <w:p w:rsidR="00B4476E" w:rsidRDefault="00B4476E" w:rsidP="00DD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7FD9"/>
    <w:multiLevelType w:val="hybridMultilevel"/>
    <w:tmpl w:val="FFCE27DA"/>
    <w:lvl w:ilvl="0" w:tplc="2EAAAF48">
      <w:start w:val="1"/>
      <w:numFmt w:val="bullet"/>
      <w:lvlText w:val="-"/>
      <w:lvlJc w:val="left"/>
      <w:pPr>
        <w:ind w:left="244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F5E8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68A5E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8714E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CEEA0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67ED8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2219C">
      <w:start w:val="1"/>
      <w:numFmt w:val="bullet"/>
      <w:lvlText w:val="•"/>
      <w:lvlJc w:val="left"/>
      <w:pPr>
        <w:ind w:left="69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8C612">
      <w:start w:val="1"/>
      <w:numFmt w:val="bullet"/>
      <w:lvlText w:val="o"/>
      <w:lvlJc w:val="left"/>
      <w:pPr>
        <w:ind w:left="766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834F2">
      <w:start w:val="1"/>
      <w:numFmt w:val="bullet"/>
      <w:lvlText w:val="▪"/>
      <w:lvlJc w:val="left"/>
      <w:pPr>
        <w:ind w:left="83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62117"/>
    <w:multiLevelType w:val="hybridMultilevel"/>
    <w:tmpl w:val="721871B6"/>
    <w:lvl w:ilvl="0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</w:abstractNum>
  <w:abstractNum w:abstractNumId="2" w15:restartNumberingAfterBreak="0">
    <w:nsid w:val="203C66DF"/>
    <w:multiLevelType w:val="hybridMultilevel"/>
    <w:tmpl w:val="E85E0AA6"/>
    <w:lvl w:ilvl="0" w:tplc="8E92FFB8">
      <w:start w:val="2"/>
      <w:numFmt w:val="bullet"/>
      <w:lvlText w:val="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20B0"/>
    <w:multiLevelType w:val="hybridMultilevel"/>
    <w:tmpl w:val="86F4B04A"/>
    <w:lvl w:ilvl="0" w:tplc="A3268A8E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A3A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AF9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E4A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231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C7A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122E">
      <w:start w:val="1"/>
      <w:numFmt w:val="bullet"/>
      <w:lvlText w:val="•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67DE8">
      <w:start w:val="1"/>
      <w:numFmt w:val="bullet"/>
      <w:lvlText w:val="o"/>
      <w:lvlJc w:val="left"/>
      <w:pPr>
        <w:ind w:left="7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AD47A">
      <w:start w:val="1"/>
      <w:numFmt w:val="bullet"/>
      <w:lvlText w:val="▪"/>
      <w:lvlJc w:val="left"/>
      <w:pPr>
        <w:ind w:left="8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4B0567"/>
    <w:multiLevelType w:val="hybridMultilevel"/>
    <w:tmpl w:val="D5768CC0"/>
    <w:lvl w:ilvl="0" w:tplc="0C2AEA48">
      <w:start w:val="1"/>
      <w:numFmt w:val="bullet"/>
      <w:lvlText w:val="-"/>
      <w:lvlJc w:val="left"/>
      <w:pPr>
        <w:ind w:left="4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A5D1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2F9BE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4BE7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A313A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A4B2E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85C7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4A0C6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48656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932E65"/>
    <w:multiLevelType w:val="hybridMultilevel"/>
    <w:tmpl w:val="35545E06"/>
    <w:lvl w:ilvl="0" w:tplc="8DFA1348">
      <w:start w:val="1"/>
      <w:numFmt w:val="bullet"/>
      <w:lvlText w:val="-"/>
      <w:lvlJc w:val="left"/>
      <w:pPr>
        <w:ind w:left="24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6CC34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C41B6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A7AE4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0106C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2B018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AC072">
      <w:start w:val="1"/>
      <w:numFmt w:val="bullet"/>
      <w:lvlText w:val="•"/>
      <w:lvlJc w:val="left"/>
      <w:pPr>
        <w:ind w:left="6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6DAE2">
      <w:start w:val="1"/>
      <w:numFmt w:val="bullet"/>
      <w:lvlText w:val="o"/>
      <w:lvlJc w:val="left"/>
      <w:pPr>
        <w:ind w:left="7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C32EA">
      <w:start w:val="1"/>
      <w:numFmt w:val="bullet"/>
      <w:lvlText w:val="▪"/>
      <w:lvlJc w:val="left"/>
      <w:pPr>
        <w:ind w:left="8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91164"/>
    <w:multiLevelType w:val="hybridMultilevel"/>
    <w:tmpl w:val="0A5CB420"/>
    <w:lvl w:ilvl="0" w:tplc="D086604E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40"/>
    <w:rsid w:val="00693940"/>
    <w:rsid w:val="007161B4"/>
    <w:rsid w:val="00977A40"/>
    <w:rsid w:val="009962AC"/>
    <w:rsid w:val="009B637C"/>
    <w:rsid w:val="00B21656"/>
    <w:rsid w:val="00B4476E"/>
    <w:rsid w:val="00D53254"/>
    <w:rsid w:val="00DD6C5E"/>
    <w:rsid w:val="00F64FFF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2BE7"/>
  <w15:docId w15:val="{816D4A4B-E943-4FF5-B5B8-7A31C0F4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10" w:right="1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" w:line="248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216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1B4"/>
    <w:rPr>
      <w:rFonts w:ascii="Segoe UI" w:eastAsia="Garamond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C5E"/>
    <w:rPr>
      <w:rFonts w:ascii="Garamond" w:eastAsia="Garamond" w:hAnsi="Garamond" w:cs="Garamond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D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C5E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.finanze.it/DocTribFrontend/decodeurn?urn=urn:doctrib::DL:2014-05-31;83_art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f.finanze.it/DocTribFrontend/decodeurn?urn=urn:doctrib::DL:2014-05-31;83_art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ef.finanze.it/DocTribFrontend/decodeurn?urn=urn:doctrib::DL:2014-05-31;83_art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f.finanze.it/DocTribFrontend/decodeurn?urn=urn:doctrib::DL:2014-05-31;83_art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Pinto</dc:creator>
  <cp:keywords/>
  <cp:lastModifiedBy>irons</cp:lastModifiedBy>
  <cp:revision>15</cp:revision>
  <cp:lastPrinted>2020-09-04T08:05:00Z</cp:lastPrinted>
  <dcterms:created xsi:type="dcterms:W3CDTF">2020-09-03T09:54:00Z</dcterms:created>
  <dcterms:modified xsi:type="dcterms:W3CDTF">2020-09-04T08:44:00Z</dcterms:modified>
</cp:coreProperties>
</file>